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F1" w:rsidRPr="00B41ABA" w:rsidRDefault="004D3AF1" w:rsidP="004D3AF1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B41ABA">
        <w:rPr>
          <w:b w:val="0"/>
          <w:color w:val="000000" w:themeColor="text1"/>
          <w:sz w:val="22"/>
          <w:szCs w:val="22"/>
        </w:rPr>
        <w:t>ANEXA NR. 15</w:t>
      </w:r>
    </w:p>
    <w:p w:rsidR="004D3AF1" w:rsidRPr="00B41ABA" w:rsidRDefault="004D3AF1" w:rsidP="004D3AF1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  <w:t xml:space="preserve">                 la Metodologie</w:t>
      </w:r>
    </w:p>
    <w:p w:rsidR="004D3AF1" w:rsidRPr="00B41ABA" w:rsidRDefault="004D3AF1" w:rsidP="004D3AF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Calculul mediei de departajare</w:t>
      </w:r>
    </w:p>
    <w:p w:rsidR="004D3AF1" w:rsidRPr="00B41ABA" w:rsidRDefault="004D3AF1" w:rsidP="004D3AF1">
      <w:pPr>
        <w:spacing w:after="0" w:line="240" w:lineRule="auto"/>
        <w:ind w:left="1080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  <w:r w:rsidRPr="00B41ABA">
        <w:rPr>
          <w:color w:val="000000" w:themeColor="text1"/>
          <w:sz w:val="22"/>
          <w:szCs w:val="22"/>
        </w:rPr>
        <w:t xml:space="preserve">1. Media de departajare este media aritmetică, calculată prin trunchiere cu patru zecimale, a mediei anilor de studii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a mediei examenului de </w:t>
      </w:r>
      <w:proofErr w:type="spellStart"/>
      <w:r w:rsidRPr="00B41ABA">
        <w:rPr>
          <w:color w:val="000000" w:themeColor="text1"/>
          <w:sz w:val="22"/>
          <w:szCs w:val="22"/>
        </w:rPr>
        <w:t>licenţă</w:t>
      </w:r>
      <w:proofErr w:type="spellEnd"/>
      <w:r w:rsidRPr="00B41ABA">
        <w:rPr>
          <w:color w:val="000000" w:themeColor="text1"/>
          <w:sz w:val="22"/>
          <w:szCs w:val="22"/>
        </w:rPr>
        <w:t xml:space="preserve">/stat/absolvire,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studiilor superioare de lungă durată/scurtă durată/ciclului I de studii superioare de </w:t>
      </w:r>
      <w:proofErr w:type="spellStart"/>
      <w:r w:rsidRPr="00B41ABA">
        <w:rPr>
          <w:color w:val="000000" w:themeColor="text1"/>
          <w:sz w:val="22"/>
          <w:szCs w:val="22"/>
        </w:rPr>
        <w:t>licenţă</w:t>
      </w:r>
      <w:proofErr w:type="spellEnd"/>
      <w:r w:rsidRPr="00B41ABA">
        <w:rPr>
          <w:color w:val="000000" w:themeColor="text1"/>
          <w:sz w:val="22"/>
          <w:szCs w:val="22"/>
        </w:rPr>
        <w:t xml:space="preserve">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colegiilor pedagogice/</w:t>
      </w:r>
      <w:proofErr w:type="spellStart"/>
      <w:r w:rsidRPr="00B41ABA">
        <w:rPr>
          <w:color w:val="000000" w:themeColor="text1"/>
          <w:sz w:val="22"/>
          <w:szCs w:val="22"/>
        </w:rPr>
        <w:t>şcolilor</w:t>
      </w:r>
      <w:proofErr w:type="spellEnd"/>
      <w:r w:rsidRPr="00B41ABA">
        <w:rPr>
          <w:color w:val="000000" w:themeColor="text1"/>
          <w:sz w:val="22"/>
          <w:szCs w:val="22"/>
        </w:rPr>
        <w:t xml:space="preserve"> echivalente/</w:t>
      </w:r>
      <w:proofErr w:type="spellStart"/>
      <w:r w:rsidRPr="00B41ABA">
        <w:rPr>
          <w:color w:val="000000" w:themeColor="text1"/>
          <w:sz w:val="22"/>
          <w:szCs w:val="22"/>
        </w:rPr>
        <w:t>şcolilor</w:t>
      </w:r>
      <w:proofErr w:type="spellEnd"/>
      <w:r w:rsidRPr="00B41ABA">
        <w:rPr>
          <w:color w:val="000000" w:themeColor="text1"/>
          <w:sz w:val="22"/>
          <w:szCs w:val="22"/>
        </w:rPr>
        <w:t xml:space="preserve"> postliceale/</w:t>
      </w:r>
      <w:proofErr w:type="spellStart"/>
      <w:r w:rsidRPr="00B41ABA">
        <w:rPr>
          <w:color w:val="000000" w:themeColor="text1"/>
          <w:sz w:val="22"/>
          <w:szCs w:val="22"/>
        </w:rPr>
        <w:t>şcolilor</w:t>
      </w:r>
      <w:proofErr w:type="spellEnd"/>
      <w:r w:rsidRPr="00B41ABA">
        <w:rPr>
          <w:color w:val="000000" w:themeColor="text1"/>
          <w:sz w:val="22"/>
          <w:szCs w:val="22"/>
        </w:rPr>
        <w:t xml:space="preserve"> de </w:t>
      </w:r>
      <w:proofErr w:type="spellStart"/>
      <w:r w:rsidRPr="00B41ABA">
        <w:rPr>
          <w:color w:val="000000" w:themeColor="text1"/>
          <w:sz w:val="22"/>
          <w:szCs w:val="22"/>
        </w:rPr>
        <w:t>maiştri</w:t>
      </w:r>
      <w:proofErr w:type="spellEnd"/>
      <w:r w:rsidRPr="00B41ABA">
        <w:rPr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3541"/>
      </w:tblGrid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Media de departajare</w: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Studii finalizate cu diplomă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52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4pt;height:42.6pt" o:ole="">
                  <v:imagedata r:id="rId7" o:title=""/>
                </v:shape>
                <o:OLEObject Type="Embed" ProgID="Equation.3" ShapeID="_x0000_i1025" DrawAspect="Content" ObjectID="_1653112981" r:id="rId8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studiilor universitare de lungă durată de 6 ani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4580" w:dyaOrig="900">
                <v:shape id="_x0000_i1026" type="#_x0000_t75" style="width:207pt;height:42.6pt" o:ole="">
                  <v:imagedata r:id="rId9" o:title=""/>
                </v:shape>
                <o:OLEObject Type="Embed" ProgID="Equation.3" ShapeID="_x0000_i1026" DrawAspect="Content" ObjectID="_1653112982" r:id="rId10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Absolvenţi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ai studiilor universitare de lungă durată de 5 ani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3940" w:dyaOrig="900">
                <v:shape id="_x0000_i1027" type="#_x0000_t75" style="width:185.4pt;height:42.6pt" o:ole="">
                  <v:imagedata r:id="rId11" o:title=""/>
                </v:shape>
                <o:OLEObject Type="Embed" ProgID="Equation.3" ShapeID="_x0000_i1027" DrawAspect="Content" ObjectID="_1653112983" r:id="rId12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Absolvenţi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ai studiilor universitare de lungă durată de 4 ani sau ai studiilor universitare de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licenţă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cu durata de 4 ani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3320" w:dyaOrig="900">
                <v:shape id="_x0000_i1028" type="#_x0000_t75" style="width:157.8pt;height:42.6pt" o:ole="">
                  <v:imagedata r:id="rId13" o:title=""/>
                </v:shape>
                <o:OLEObject Type="Embed" ProgID="Equation.3" ShapeID="_x0000_i1028" DrawAspect="Content" ObjectID="_1653112984" r:id="rId14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Absolvenţi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ai studiilor universitare de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licenţă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cu durata de 3 ani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3460" w:dyaOrig="900">
                <v:shape id="_x0000_i1029" type="#_x0000_t75" style="width:165pt;height:42.6pt" o:ole="">
                  <v:imagedata r:id="rId15" o:title=""/>
                </v:shape>
                <o:OLEObject Type="Embed" ProgID="Equation.3" ShapeID="_x0000_i1029" DrawAspect="Content" ObjectID="_1653112985" r:id="rId16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Absolvenţi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ai studiilor universitare de scurtă durată de 3 ani sau ai colegiilor de institutori sau ai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şcolilor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maiştri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>/postliceale cu durata de 3 ani</w:t>
            </w:r>
          </w:p>
        </w:tc>
      </w:tr>
      <w:tr w:rsidR="004D3AF1" w:rsidRPr="00B41ABA" w:rsidTr="001A7FF9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2840" w:dyaOrig="900">
                <v:shape id="_x0000_i1030" type="#_x0000_t75" style="width:123pt;height:42.6pt" o:ole="">
                  <v:imagedata r:id="rId17" o:title=""/>
                </v:shape>
                <o:OLEObject Type="Embed" ProgID="Equation.3" ShapeID="_x0000_i1030" DrawAspect="Content" ObjectID="_1653112986" r:id="rId18"/>
              </w:object>
            </w:r>
          </w:p>
        </w:tc>
        <w:tc>
          <w:tcPr>
            <w:tcW w:w="4678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Absolvenţi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ai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şcolilor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41ABA">
              <w:rPr>
                <w:color w:val="000000" w:themeColor="text1"/>
                <w:sz w:val="22"/>
                <w:szCs w:val="22"/>
              </w:rPr>
              <w:t>maiştri</w:t>
            </w:r>
            <w:proofErr w:type="spellEnd"/>
            <w:r w:rsidRPr="00B41ABA">
              <w:rPr>
                <w:color w:val="000000" w:themeColor="text1"/>
                <w:sz w:val="22"/>
                <w:szCs w:val="22"/>
              </w:rPr>
              <w:t xml:space="preserve">/postliceale cu durata de 2 ani </w:t>
            </w:r>
          </w:p>
        </w:tc>
      </w:tr>
    </w:tbl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pacing w:val="-20"/>
          <w:sz w:val="22"/>
          <w:szCs w:val="22"/>
        </w:rPr>
      </w:pP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  <w:r w:rsidRPr="00B41ABA">
        <w:rPr>
          <w:color w:val="000000" w:themeColor="text1"/>
          <w:sz w:val="22"/>
          <w:szCs w:val="22"/>
        </w:rPr>
        <w:t xml:space="preserve">2. Media de departajare este media aritmetică, calculată prin trunchiere cu patru zecimale, a mediei anilor de studii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a mediei examenului de bacalaureat,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liceelor pedagogice: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Media de departajare</w: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Studii finalizate cu diplomă</w:t>
            </w:r>
          </w:p>
        </w:tc>
      </w:tr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5140" w:dyaOrig="900">
                <v:shape id="_x0000_i1084" type="#_x0000_t75" style="width:229.8pt;height:42.6pt" o:ole="">
                  <v:imagedata r:id="rId19" o:title=""/>
                </v:shape>
                <o:OLEObject Type="Embed" ProgID="Equation.3" ShapeID="_x0000_i1084" DrawAspect="Content" ObjectID="_1653112987" r:id="rId20"/>
              </w:objec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liceelor pedagogice cu durata de 6 ani</w:t>
            </w:r>
          </w:p>
        </w:tc>
      </w:tr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4480" w:dyaOrig="900">
                <v:shape id="_x0000_i1085" type="#_x0000_t75" style="width:198pt;height:42.6pt" o:ole="">
                  <v:imagedata r:id="rId21" o:title=""/>
                </v:shape>
                <o:OLEObject Type="Embed" ProgID="Equation.3" ShapeID="_x0000_i1085" DrawAspect="Content" ObjectID="_1653112988" r:id="rId22"/>
              </w:objec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liceelor pedagogice cu durata de 5 ani</w:t>
            </w:r>
          </w:p>
        </w:tc>
      </w:tr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3780" w:dyaOrig="900">
                <v:shape id="_x0000_i1086" type="#_x0000_t75" style="width:177.6pt;height:42.6pt" o:ole="">
                  <v:imagedata r:id="rId23" o:title=""/>
                </v:shape>
                <o:OLEObject Type="Embed" ProgID="Equation.3" ShapeID="_x0000_i1086" DrawAspect="Content" ObjectID="_1653112989" r:id="rId24"/>
              </w:objec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liceelor pedagogice cu durata de 4 ani</w:t>
            </w:r>
          </w:p>
        </w:tc>
      </w:tr>
    </w:tbl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  <w:r w:rsidRPr="00B41ABA">
        <w:rPr>
          <w:color w:val="000000" w:themeColor="text1"/>
          <w:sz w:val="22"/>
          <w:szCs w:val="22"/>
        </w:rPr>
        <w:t xml:space="preserve">3. Media aritmetică, calculată prin trunchiere cu patru zecimale, a mediei anilor de studii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a mediei examenului de </w:t>
      </w:r>
      <w:proofErr w:type="spellStart"/>
      <w:r w:rsidRPr="00B41ABA">
        <w:rPr>
          <w:color w:val="000000" w:themeColor="text1"/>
          <w:sz w:val="22"/>
          <w:szCs w:val="22"/>
        </w:rPr>
        <w:t>dizertaţie</w:t>
      </w:r>
      <w:proofErr w:type="spellEnd"/>
      <w:r w:rsidRPr="00B41ABA">
        <w:rPr>
          <w:color w:val="000000" w:themeColor="text1"/>
          <w:sz w:val="22"/>
          <w:szCs w:val="22"/>
        </w:rPr>
        <w:t xml:space="preserve">,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ciclului II de studii universitare de masterat/master: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Media de departajare</w: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ABA">
              <w:rPr>
                <w:rFonts w:ascii="Times New Roman" w:hAnsi="Times New Roman"/>
                <w:color w:val="000000" w:themeColor="text1"/>
              </w:rPr>
              <w:t>Studii finalizate cu diplomă</w:t>
            </w:r>
          </w:p>
        </w:tc>
      </w:tr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5520" w:dyaOrig="1300">
                <v:shape id="_x0000_i1104" type="#_x0000_t75" style="width:244.8pt;height:59.4pt" o:ole="">
                  <v:imagedata r:id="rId25" o:title=""/>
                </v:shape>
                <o:OLEObject Type="Embed" ProgID="Equation.3" ShapeID="_x0000_i1104" DrawAspect="Content" ObjectID="_1653112990" r:id="rId26"/>
              </w:objec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studiilor universitare de </w:t>
            </w: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cu durata de 4 ani, urmate de studii universitare de masterat cu durata de 2 ani</w:t>
            </w:r>
          </w:p>
        </w:tc>
      </w:tr>
      <w:tr w:rsidR="004D3AF1" w:rsidRPr="00B41ABA" w:rsidTr="004D3AF1">
        <w:tc>
          <w:tcPr>
            <w:tcW w:w="5103" w:type="dxa"/>
            <w:vAlign w:val="center"/>
          </w:tcPr>
          <w:p w:rsidR="004D3AF1" w:rsidRPr="00B41ABA" w:rsidRDefault="004D3AF1" w:rsidP="001A7FF9">
            <w:pPr>
              <w:pStyle w:val="Default"/>
              <w:jc w:val="both"/>
              <w:rPr>
                <w:color w:val="000000" w:themeColor="text1"/>
                <w:spacing w:val="-20"/>
                <w:sz w:val="22"/>
                <w:szCs w:val="22"/>
              </w:rPr>
            </w:pPr>
            <w:r w:rsidRPr="00B41ABA">
              <w:rPr>
                <w:color w:val="000000" w:themeColor="text1"/>
                <w:spacing w:val="-20"/>
                <w:position w:val="-24"/>
                <w:sz w:val="22"/>
                <w:szCs w:val="22"/>
              </w:rPr>
              <w:object w:dxaOrig="4880" w:dyaOrig="1160">
                <v:shape id="_x0000_i1105" type="#_x0000_t75" style="width:3in;height:48.6pt" o:ole="">
                  <v:imagedata r:id="rId27" o:title=""/>
                </v:shape>
                <o:OLEObject Type="Embed" ProgID="Equation.3" ShapeID="_x0000_i1105" DrawAspect="Content" ObjectID="_1653112991" r:id="rId28"/>
              </w:object>
            </w:r>
          </w:p>
        </w:tc>
        <w:tc>
          <w:tcPr>
            <w:tcW w:w="3856" w:type="dxa"/>
            <w:vAlign w:val="center"/>
          </w:tcPr>
          <w:p w:rsidR="004D3AF1" w:rsidRPr="00B41ABA" w:rsidRDefault="004D3AF1" w:rsidP="001A7F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Absolvenţi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ai studiilor universitare de </w:t>
            </w:r>
            <w:proofErr w:type="spellStart"/>
            <w:r w:rsidRPr="00B41ABA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Pr="00B41ABA">
              <w:rPr>
                <w:rFonts w:ascii="Times New Roman" w:hAnsi="Times New Roman"/>
                <w:color w:val="000000" w:themeColor="text1"/>
              </w:rPr>
              <w:t xml:space="preserve"> cu durata de 3 ani, urmate de studii universitare de masterat cu durata de 2 ani</w:t>
            </w:r>
          </w:p>
        </w:tc>
      </w:tr>
    </w:tbl>
    <w:p w:rsidR="004D3AF1" w:rsidRPr="00B41ABA" w:rsidRDefault="004D3AF1" w:rsidP="004D3AF1">
      <w:pPr>
        <w:spacing w:after="0" w:line="240" w:lineRule="auto"/>
        <w:rPr>
          <w:color w:val="000000" w:themeColor="text1"/>
        </w:rPr>
      </w:pP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  <w:r w:rsidRPr="00B41ABA">
        <w:rPr>
          <w:color w:val="000000" w:themeColor="text1"/>
          <w:sz w:val="22"/>
          <w:szCs w:val="22"/>
        </w:rPr>
        <w:t xml:space="preserve">4. Media aritmetică, calculată prin trunchiere cu patru zecimale, a mediei celor 3 semestre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a mediei examenului de absolvire,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studiilor postuniversitare cu durata de 3 semestre:</w:t>
      </w: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</w:p>
    <w:p w:rsidR="004D3AF1" w:rsidRPr="00B41ABA" w:rsidRDefault="004D3AF1" w:rsidP="004D3AF1">
      <w:pPr>
        <w:spacing w:after="0" w:line="240" w:lineRule="auto"/>
        <w:jc w:val="center"/>
        <w:rPr>
          <w:color w:val="000000" w:themeColor="text1"/>
          <w:spacing w:val="-20"/>
        </w:rPr>
      </w:pPr>
      <w:r w:rsidRPr="00B41ABA">
        <w:rPr>
          <w:color w:val="000000" w:themeColor="text1"/>
          <w:spacing w:val="-20"/>
          <w:position w:val="-24"/>
        </w:rPr>
        <w:object w:dxaOrig="3379" w:dyaOrig="900">
          <v:shape id="_x0000_i1036" type="#_x0000_t75" style="width:162.6pt;height:42.6pt" o:ole="">
            <v:imagedata r:id="rId29" o:title=""/>
          </v:shape>
          <o:OLEObject Type="Embed" ProgID="Equation.3" ShapeID="_x0000_i1036" DrawAspect="Content" ObjectID="_1653112992" r:id="rId30"/>
        </w:object>
      </w:r>
    </w:p>
    <w:p w:rsidR="004D3AF1" w:rsidRPr="00B41ABA" w:rsidRDefault="004D3AF1" w:rsidP="004D3AF1">
      <w:pPr>
        <w:spacing w:after="0" w:line="240" w:lineRule="auto"/>
        <w:jc w:val="center"/>
        <w:rPr>
          <w:color w:val="000000" w:themeColor="text1"/>
          <w:spacing w:val="-20"/>
        </w:rPr>
      </w:pP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  <w:r w:rsidRPr="00B41ABA">
        <w:rPr>
          <w:color w:val="000000" w:themeColor="text1"/>
          <w:sz w:val="22"/>
          <w:szCs w:val="22"/>
        </w:rPr>
        <w:t xml:space="preserve">5. Media aritmetică, calculată prin trunchiere cu patru zecimale, a mediei anilor de studii </w:t>
      </w:r>
      <w:proofErr w:type="spellStart"/>
      <w:r w:rsidRPr="00B41ABA">
        <w:rPr>
          <w:color w:val="000000" w:themeColor="text1"/>
          <w:sz w:val="22"/>
          <w:szCs w:val="22"/>
        </w:rPr>
        <w:t>şi</w:t>
      </w:r>
      <w:proofErr w:type="spellEnd"/>
      <w:r w:rsidRPr="00B41ABA">
        <w:rPr>
          <w:color w:val="000000" w:themeColor="text1"/>
          <w:sz w:val="22"/>
          <w:szCs w:val="22"/>
        </w:rPr>
        <w:t xml:space="preserve"> a mediei examenului de absolvire, pentru </w:t>
      </w:r>
      <w:proofErr w:type="spellStart"/>
      <w:r w:rsidRPr="00B41ABA">
        <w:rPr>
          <w:color w:val="000000" w:themeColor="text1"/>
          <w:sz w:val="22"/>
          <w:szCs w:val="22"/>
        </w:rPr>
        <w:t>absolvenţii</w:t>
      </w:r>
      <w:proofErr w:type="spellEnd"/>
      <w:r w:rsidRPr="00B41ABA">
        <w:rPr>
          <w:color w:val="000000" w:themeColor="text1"/>
          <w:sz w:val="22"/>
          <w:szCs w:val="22"/>
        </w:rPr>
        <w:t xml:space="preserve"> studiilor postuniversitare cu durata de 2 ani:</w:t>
      </w:r>
    </w:p>
    <w:p w:rsidR="004D3AF1" w:rsidRPr="00B41ABA" w:rsidRDefault="004D3AF1" w:rsidP="004D3AF1">
      <w:pPr>
        <w:pStyle w:val="Default"/>
        <w:ind w:firstLine="567"/>
        <w:jc w:val="both"/>
        <w:rPr>
          <w:color w:val="000000" w:themeColor="text1"/>
          <w:sz w:val="22"/>
          <w:szCs w:val="22"/>
        </w:rPr>
      </w:pPr>
    </w:p>
    <w:p w:rsidR="004D3AF1" w:rsidRPr="00B41ABA" w:rsidRDefault="004D3AF1" w:rsidP="004D3AF1">
      <w:pPr>
        <w:spacing w:after="0" w:line="240" w:lineRule="auto"/>
        <w:jc w:val="center"/>
        <w:rPr>
          <w:color w:val="000000" w:themeColor="text1"/>
        </w:rPr>
      </w:pPr>
      <w:r w:rsidRPr="00B41ABA">
        <w:rPr>
          <w:color w:val="000000" w:themeColor="text1"/>
          <w:spacing w:val="-20"/>
          <w:position w:val="-24"/>
        </w:rPr>
        <w:object w:dxaOrig="2520" w:dyaOrig="900">
          <v:shape id="_x0000_i1037" type="#_x0000_t75" style="width:118.2pt;height:42.6pt" o:ole="">
            <v:imagedata r:id="rId31" o:title=""/>
          </v:shape>
          <o:OLEObject Type="Embed" ProgID="Equation.3" ShapeID="_x0000_i1037" DrawAspect="Content" ObjectID="_1653112993" r:id="rId32"/>
        </w:object>
      </w:r>
    </w:p>
    <w:p w:rsidR="004D3AF1" w:rsidRPr="00B41ABA" w:rsidRDefault="004D3AF1" w:rsidP="004D3AF1">
      <w:pPr>
        <w:spacing w:after="0" w:line="240" w:lineRule="auto"/>
        <w:rPr>
          <w:color w:val="000000" w:themeColor="text1"/>
        </w:rPr>
      </w:pPr>
    </w:p>
    <w:p w:rsidR="004D3AF1" w:rsidRPr="00B41ABA" w:rsidRDefault="004D3AF1" w:rsidP="004D3AF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II. Calculul mediei de departajare în cazul mediilor egale, pentru </w:t>
      </w:r>
      <w:proofErr w:type="spellStart"/>
      <w:r w:rsidRPr="00B41ABA">
        <w:rPr>
          <w:rFonts w:ascii="Times New Roman" w:hAnsi="Times New Roman"/>
          <w:color w:val="000000" w:themeColor="text1"/>
        </w:rPr>
        <w:t>absolvenţii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care au finalizat studiile în alte </w:t>
      </w:r>
      <w:proofErr w:type="spellStart"/>
      <w:r w:rsidRPr="00B41ABA">
        <w:rPr>
          <w:rFonts w:ascii="Times New Roman" w:hAnsi="Times New Roman"/>
          <w:color w:val="000000" w:themeColor="text1"/>
        </w:rPr>
        <w:t>ţări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au </w:t>
      </w:r>
      <w:proofErr w:type="spellStart"/>
      <w:r w:rsidRPr="00B41ABA">
        <w:rPr>
          <w:rFonts w:ascii="Times New Roman" w:hAnsi="Times New Roman"/>
          <w:color w:val="000000" w:themeColor="text1"/>
        </w:rPr>
        <w:t>obţinut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certificat pentru echivalarea studiilor eliberat de Ministerul Educației și Cercetării  din România</w:t>
      </w:r>
    </w:p>
    <w:p w:rsidR="004D3AF1" w:rsidRPr="00B41ABA" w:rsidRDefault="004D3AF1" w:rsidP="004D3A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1.  În conformitate cu </w:t>
      </w:r>
      <w:proofErr w:type="spellStart"/>
      <w:r w:rsidRPr="00B41ABA">
        <w:rPr>
          <w:rFonts w:ascii="Times New Roman" w:hAnsi="Times New Roman"/>
          <w:color w:val="000000" w:themeColor="text1"/>
        </w:rPr>
        <w:t>O.M.Ed.C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. nr. 4454 din 4.07.2005, anexa 2, media generală de absolvire se calculează după formula - MGE = MGA </w:t>
      </w:r>
      <w:r w:rsidRPr="00B41ABA">
        <w:rPr>
          <w:rFonts w:ascii="Times New Roman" w:hAnsi="Times New Roman"/>
          <w:color w:val="000000" w:themeColor="text1"/>
          <w:vertAlign w:val="superscript"/>
        </w:rPr>
        <w:t xml:space="preserve">x  </w:t>
      </w:r>
      <w:r w:rsidRPr="00B41ABA">
        <w:rPr>
          <w:rFonts w:ascii="Times New Roman" w:hAnsi="Times New Roman"/>
          <w:color w:val="000000" w:themeColor="text1"/>
        </w:rPr>
        <w:t xml:space="preserve">10: </w:t>
      </w:r>
      <w:proofErr w:type="spellStart"/>
      <w:r w:rsidRPr="00B41ABA">
        <w:rPr>
          <w:rFonts w:ascii="Times New Roman" w:hAnsi="Times New Roman"/>
          <w:color w:val="000000" w:themeColor="text1"/>
        </w:rPr>
        <w:t>N</w:t>
      </w:r>
      <w:r w:rsidRPr="00B41ABA">
        <w:rPr>
          <w:rFonts w:ascii="Times New Roman" w:hAnsi="Times New Roman"/>
          <w:color w:val="000000" w:themeColor="text1"/>
          <w:vertAlign w:val="subscript"/>
        </w:rPr>
        <w:t>max</w:t>
      </w:r>
      <w:proofErr w:type="spellEnd"/>
      <w:r w:rsidRPr="00B41ABA">
        <w:rPr>
          <w:rFonts w:ascii="Times New Roman" w:hAnsi="Times New Roman"/>
          <w:color w:val="000000" w:themeColor="text1"/>
          <w:vertAlign w:val="subscript"/>
        </w:rPr>
        <w:t xml:space="preserve">  </w:t>
      </w:r>
      <w:r w:rsidRPr="00B41ABA">
        <w:rPr>
          <w:rFonts w:ascii="Times New Roman" w:hAnsi="Times New Roman"/>
          <w:color w:val="000000" w:themeColor="text1"/>
        </w:rPr>
        <w:t>-  unde: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MGE reprezintă media generală de absolvire echivalată în România;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MGA reprezintă media generală de absolvire din </w:t>
      </w:r>
      <w:proofErr w:type="spellStart"/>
      <w:r w:rsidRPr="00B41ABA">
        <w:rPr>
          <w:rFonts w:ascii="Times New Roman" w:hAnsi="Times New Roman"/>
          <w:color w:val="000000" w:themeColor="text1"/>
        </w:rPr>
        <w:t>ţara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care s-au finalizat studiile;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</w:t>
      </w:r>
      <w:proofErr w:type="spellStart"/>
      <w:r w:rsidRPr="00B41ABA">
        <w:rPr>
          <w:rFonts w:ascii="Times New Roman" w:hAnsi="Times New Roman"/>
          <w:color w:val="000000" w:themeColor="text1"/>
        </w:rPr>
        <w:t>N</w:t>
      </w:r>
      <w:r w:rsidRPr="00B41ABA">
        <w:rPr>
          <w:rFonts w:ascii="Times New Roman" w:hAnsi="Times New Roman"/>
          <w:color w:val="000000" w:themeColor="text1"/>
          <w:vertAlign w:val="superscript"/>
        </w:rPr>
        <w:softHyphen/>
      </w:r>
      <w:r w:rsidRPr="00B41ABA">
        <w:rPr>
          <w:rFonts w:ascii="Times New Roman" w:hAnsi="Times New Roman"/>
          <w:color w:val="000000" w:themeColor="text1"/>
          <w:vertAlign w:val="superscript"/>
        </w:rPr>
        <w:softHyphen/>
      </w:r>
      <w:r w:rsidRPr="00B41ABA">
        <w:rPr>
          <w:rFonts w:ascii="Times New Roman" w:hAnsi="Times New Roman"/>
          <w:color w:val="000000" w:themeColor="text1"/>
          <w:vertAlign w:val="subscript"/>
        </w:rPr>
        <w:t>max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reprezintă nota maximă din sistemul de notare din </w:t>
      </w:r>
      <w:proofErr w:type="spellStart"/>
      <w:r w:rsidRPr="00B41ABA">
        <w:rPr>
          <w:rFonts w:ascii="Times New Roman" w:hAnsi="Times New Roman"/>
          <w:color w:val="000000" w:themeColor="text1"/>
        </w:rPr>
        <w:t>ţara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care a absolvit.</w:t>
      </w:r>
    </w:p>
    <w:p w:rsidR="004D3AF1" w:rsidRPr="00B41ABA" w:rsidRDefault="004D3AF1" w:rsidP="004D3AF1">
      <w:pPr>
        <w:spacing w:after="0" w:line="240" w:lineRule="auto"/>
        <w:ind w:firstLine="720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2.  În cazul în care </w:t>
      </w:r>
      <w:proofErr w:type="spellStart"/>
      <w:r w:rsidRPr="00B41ABA">
        <w:rPr>
          <w:rFonts w:ascii="Times New Roman" w:hAnsi="Times New Roman"/>
          <w:color w:val="000000" w:themeColor="text1"/>
        </w:rPr>
        <w:t>absolvenţii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înscrişi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concurs provin din </w:t>
      </w:r>
      <w:proofErr w:type="spellStart"/>
      <w:r w:rsidRPr="00B41ABA">
        <w:rPr>
          <w:rFonts w:ascii="Times New Roman" w:hAnsi="Times New Roman"/>
          <w:color w:val="000000" w:themeColor="text1"/>
        </w:rPr>
        <w:t>ţări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cu sistem de notare pe bază de calificative, conversia acestora se realizează astfel: </w:t>
      </w:r>
    </w:p>
    <w:p w:rsidR="004D3AF1" w:rsidRPr="00B41ABA" w:rsidRDefault="004D3AF1" w:rsidP="004D3AF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- Calificativul „ foarte bine” – nota 5 – pentru </w:t>
      </w:r>
      <w:proofErr w:type="spellStart"/>
      <w:r w:rsidRPr="00B41ABA">
        <w:rPr>
          <w:rFonts w:ascii="Times New Roman" w:hAnsi="Times New Roman"/>
          <w:color w:val="000000" w:themeColor="text1"/>
        </w:rPr>
        <w:t>ţările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care se aplică alte sisteme de notare diferite de sistemul de notare M.E.N.;</w:t>
      </w:r>
    </w:p>
    <w:p w:rsidR="004D3AF1" w:rsidRPr="00B41ABA" w:rsidRDefault="004D3AF1" w:rsidP="004D3AF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- Calificativul „  bine” – nota 4 - pentru </w:t>
      </w:r>
      <w:proofErr w:type="spellStart"/>
      <w:r w:rsidRPr="00B41ABA">
        <w:rPr>
          <w:rFonts w:ascii="Times New Roman" w:hAnsi="Times New Roman"/>
          <w:color w:val="000000" w:themeColor="text1"/>
        </w:rPr>
        <w:t>ţările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care se aplică alte sisteme de notare diferite de sistemul de notare M.E.N.;</w:t>
      </w:r>
    </w:p>
    <w:p w:rsidR="004D3AF1" w:rsidRPr="00B41ABA" w:rsidRDefault="004D3AF1" w:rsidP="004D3AF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- Calificativul „ satisfăcător” – nota 3 - pentru </w:t>
      </w:r>
      <w:proofErr w:type="spellStart"/>
      <w:r w:rsidRPr="00B41ABA">
        <w:rPr>
          <w:rFonts w:ascii="Times New Roman" w:hAnsi="Times New Roman"/>
          <w:color w:val="000000" w:themeColor="text1"/>
        </w:rPr>
        <w:t>ţările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care se aplică alte sisteme de notare diferite de sistemul de notare M.E.N.;</w:t>
      </w:r>
    </w:p>
    <w:p w:rsidR="004D3AF1" w:rsidRPr="00B41ABA" w:rsidRDefault="004D3AF1" w:rsidP="004D3A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Pentru </w:t>
      </w:r>
      <w:proofErr w:type="spellStart"/>
      <w:r w:rsidRPr="00B41ABA">
        <w:rPr>
          <w:rFonts w:ascii="Times New Roman" w:hAnsi="Times New Roman"/>
          <w:color w:val="000000" w:themeColor="text1"/>
        </w:rPr>
        <w:t>obţinerea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mediei generale de absolvire echivalată în România, după conversia mai sus </w:t>
      </w:r>
      <w:proofErr w:type="spellStart"/>
      <w:r w:rsidRPr="00B41ABA">
        <w:rPr>
          <w:rFonts w:ascii="Times New Roman" w:hAnsi="Times New Roman"/>
          <w:color w:val="000000" w:themeColor="text1"/>
        </w:rPr>
        <w:t>menţionată</w:t>
      </w:r>
      <w:proofErr w:type="spellEnd"/>
      <w:r w:rsidRPr="00B41ABA">
        <w:rPr>
          <w:rFonts w:ascii="Times New Roman" w:hAnsi="Times New Roman"/>
          <w:color w:val="000000" w:themeColor="text1"/>
        </w:rPr>
        <w:t>, se va aplica formula de la pct.1.</w:t>
      </w:r>
    </w:p>
    <w:p w:rsidR="004D3AF1" w:rsidRPr="00B41ABA" w:rsidRDefault="004D3AF1" w:rsidP="004D3AF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3. Media de departajare se va calcula ca media aritmetică dintre media generală de absolvire echivalată în România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media </w:t>
      </w:r>
      <w:proofErr w:type="spellStart"/>
      <w:r w:rsidRPr="00B41ABA">
        <w:rPr>
          <w:rFonts w:ascii="Times New Roman" w:hAnsi="Times New Roman"/>
          <w:color w:val="000000" w:themeColor="text1"/>
        </w:rPr>
        <w:t>obţinută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examenul de </w:t>
      </w:r>
      <w:proofErr w:type="spellStart"/>
      <w:r w:rsidRPr="00B41ABA">
        <w:rPr>
          <w:rFonts w:ascii="Times New Roman" w:hAnsi="Times New Roman"/>
          <w:color w:val="000000" w:themeColor="text1"/>
        </w:rPr>
        <w:t>licenţă</w:t>
      </w:r>
      <w:proofErr w:type="spellEnd"/>
      <w:r w:rsidRPr="00B41ABA">
        <w:rPr>
          <w:rFonts w:ascii="Times New Roman" w:hAnsi="Times New Roman"/>
          <w:color w:val="000000" w:themeColor="text1"/>
        </w:rPr>
        <w:t>/diplomă/stat/absolvire.</w:t>
      </w:r>
    </w:p>
    <w:p w:rsidR="004D3AF1" w:rsidRPr="00B41ABA" w:rsidRDefault="004D3AF1" w:rsidP="004D3AF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4. Media </w:t>
      </w:r>
      <w:proofErr w:type="spellStart"/>
      <w:r w:rsidRPr="00B41ABA">
        <w:rPr>
          <w:rFonts w:ascii="Times New Roman" w:hAnsi="Times New Roman"/>
          <w:color w:val="000000" w:themeColor="text1"/>
        </w:rPr>
        <w:t>obţinută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examenul de </w:t>
      </w:r>
      <w:proofErr w:type="spellStart"/>
      <w:r w:rsidRPr="00B41ABA">
        <w:rPr>
          <w:rFonts w:ascii="Times New Roman" w:hAnsi="Times New Roman"/>
          <w:color w:val="000000" w:themeColor="text1"/>
        </w:rPr>
        <w:t>licenţă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/diplomă/stat/absolvire, </w:t>
      </w:r>
      <w:proofErr w:type="spellStart"/>
      <w:r w:rsidRPr="00B41ABA">
        <w:rPr>
          <w:rFonts w:ascii="Times New Roman" w:hAnsi="Times New Roman"/>
          <w:color w:val="000000" w:themeColor="text1"/>
        </w:rPr>
        <w:t>menţionată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la pct.3 se calculează după </w:t>
      </w:r>
      <w:proofErr w:type="spellStart"/>
      <w:r w:rsidRPr="00B41ABA">
        <w:rPr>
          <w:rFonts w:ascii="Times New Roman" w:hAnsi="Times New Roman"/>
          <w:color w:val="000000" w:themeColor="text1"/>
        </w:rPr>
        <w:t>aceeaşi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formulă (eventual conversie) de la pct. 1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2. </w:t>
      </w:r>
    </w:p>
    <w:p w:rsidR="004D3AF1" w:rsidRPr="00B41ABA" w:rsidRDefault="004D3AF1" w:rsidP="004D3A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4D3AF1" w:rsidRPr="00B41ABA" w:rsidRDefault="004D3AF1" w:rsidP="004D3A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</w:t>
      </w:r>
      <w:proofErr w:type="spellStart"/>
      <w:r w:rsidRPr="00B41ABA">
        <w:rPr>
          <w:rFonts w:ascii="Times New Roman" w:hAnsi="Times New Roman"/>
          <w:color w:val="000000" w:themeColor="text1"/>
        </w:rPr>
        <w:t>consecinţă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, pentru </w:t>
      </w:r>
      <w:proofErr w:type="spellStart"/>
      <w:r w:rsidRPr="00B41ABA">
        <w:rPr>
          <w:rFonts w:ascii="Times New Roman" w:hAnsi="Times New Roman"/>
          <w:color w:val="000000" w:themeColor="text1"/>
        </w:rPr>
        <w:t>absolvenţii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care au finalizat studiile în Ucraina, Republica Moldova sau alte </w:t>
      </w:r>
      <w:proofErr w:type="spellStart"/>
      <w:r w:rsidRPr="00B41ABA">
        <w:rPr>
          <w:rFonts w:ascii="Times New Roman" w:hAnsi="Times New Roman"/>
          <w:color w:val="000000" w:themeColor="text1"/>
        </w:rPr>
        <w:t>ţări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au </w:t>
      </w:r>
      <w:proofErr w:type="spellStart"/>
      <w:r w:rsidRPr="00B41ABA">
        <w:rPr>
          <w:rFonts w:ascii="Times New Roman" w:hAnsi="Times New Roman"/>
          <w:color w:val="000000" w:themeColor="text1"/>
        </w:rPr>
        <w:t>obţinut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diplome echivalate de către Ministerul Educației și Cercetării  din România, în urma precizărilor de mai sus, calificativele sunt echivalate după cum urmează: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Calificativul „ foarte bine” – nota 10 în sistemul de notare M.E.N.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Calificativul „  bine”           – nota 8   în sistemul de notare M.E.N.</w:t>
      </w:r>
    </w:p>
    <w:p w:rsidR="004D3AF1" w:rsidRPr="00B41ABA" w:rsidRDefault="004D3AF1" w:rsidP="004D3AF1">
      <w:pPr>
        <w:spacing w:after="0" w:line="240" w:lineRule="auto"/>
        <w:ind w:firstLine="720"/>
        <w:jc w:val="both"/>
        <w:rPr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Calificativul „ satisfăcător” – nota 6  în sistemul de notare M.E.N.</w:t>
      </w:r>
    </w:p>
    <w:p w:rsidR="004D3AF1" w:rsidRPr="00B41ABA" w:rsidRDefault="004D3AF1" w:rsidP="004D3AF1">
      <w:pPr>
        <w:ind w:firstLine="567"/>
        <w:jc w:val="right"/>
        <w:rPr>
          <w:color w:val="000000" w:themeColor="text1"/>
        </w:rPr>
      </w:pPr>
    </w:p>
    <w:p w:rsidR="004D3AF1" w:rsidRPr="00B41ABA" w:rsidRDefault="004D3AF1" w:rsidP="004D3AF1">
      <w:pPr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4D3AF1" w:rsidRPr="00B41ABA" w:rsidRDefault="004D3AF1" w:rsidP="004D3AF1">
      <w:pPr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4D3AF1" w:rsidRPr="00B41ABA" w:rsidRDefault="004D3AF1" w:rsidP="004D3AF1">
      <w:pPr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4D3AF1" w:rsidRPr="00B41ABA" w:rsidRDefault="004D3AF1" w:rsidP="004D3AF1">
      <w:pPr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4D3AF1" w:rsidRPr="00B41ABA" w:rsidRDefault="004D3AF1" w:rsidP="004D3AF1">
      <w:pPr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BF61FC" w:rsidRDefault="00BF61FC"/>
    <w:sectPr w:rsidR="00BF61FC">
      <w:head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CD" w:rsidRDefault="00337BCD" w:rsidP="004D3AF1">
      <w:pPr>
        <w:spacing w:after="0" w:line="240" w:lineRule="auto"/>
      </w:pPr>
      <w:r>
        <w:separator/>
      </w:r>
    </w:p>
  </w:endnote>
  <w:endnote w:type="continuationSeparator" w:id="0">
    <w:p w:rsidR="00337BCD" w:rsidRDefault="00337BCD" w:rsidP="004D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CD" w:rsidRDefault="00337BCD" w:rsidP="004D3AF1">
      <w:pPr>
        <w:spacing w:after="0" w:line="240" w:lineRule="auto"/>
      </w:pPr>
      <w:r>
        <w:separator/>
      </w:r>
    </w:p>
  </w:footnote>
  <w:footnote w:type="continuationSeparator" w:id="0">
    <w:p w:rsidR="00337BCD" w:rsidRDefault="00337BCD" w:rsidP="004D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F1" w:rsidRDefault="004D3AF1">
    <w:pPr>
      <w:pStyle w:val="Header"/>
    </w:pPr>
    <w:r>
      <w:t>CONCURS NAȚIONAL DE OCUPARE A POSTURILOR DIDACTICE/CATEDRELOR VACANTE/REZERVATE SESIUNEA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7"/>
    <w:rsid w:val="002E1397"/>
    <w:rsid w:val="00337BCD"/>
    <w:rsid w:val="004D3AF1"/>
    <w:rsid w:val="00B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3CB"/>
  <w15:chartTrackingRefBased/>
  <w15:docId w15:val="{D924F6EB-B6FA-4CF9-AC2F-1BD46FB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F1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4D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AF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Default">
    <w:name w:val="Default"/>
    <w:rsid w:val="004D3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F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D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F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2020-06-08T06:15:00Z</dcterms:created>
  <dcterms:modified xsi:type="dcterms:W3CDTF">2020-06-08T06:16:00Z</dcterms:modified>
</cp:coreProperties>
</file>